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86B" w:rsidRPr="00FE386B" w:rsidRDefault="00784DA7" w:rsidP="00FE386B">
      <w:pPr>
        <w:shd w:val="clear" w:color="auto" w:fill="FFFFFF"/>
        <w:spacing w:before="210" w:after="210" w:line="240" w:lineRule="auto"/>
        <w:outlineLvl w:val="3"/>
        <w:rPr>
          <w:rFonts w:ascii="inherit" w:eastAsia="Times New Roman" w:hAnsi="inherit" w:cs="Times New Roman"/>
          <w:b/>
          <w:bCs/>
          <w:color w:val="1C2024"/>
          <w:sz w:val="35"/>
          <w:szCs w:val="35"/>
          <w:lang w:eastAsia="it-IT"/>
        </w:rPr>
      </w:pPr>
      <w:r w:rsidRPr="00FE386B">
        <w:rPr>
          <w:rFonts w:ascii="inherit" w:eastAsia="Times New Roman" w:hAnsi="inherit" w:cs="Times New Roman"/>
          <w:b/>
          <w:bCs/>
          <w:color w:val="1C2024"/>
          <w:sz w:val="35"/>
          <w:szCs w:val="35"/>
          <w:lang w:eastAsia="it-IT"/>
        </w:rPr>
        <w:t>DEFINIZIONE AGEVOLATA 2026</w:t>
      </w:r>
    </w:p>
    <w:p w:rsidR="00FE386B" w:rsidRPr="00FE386B" w:rsidRDefault="00FE386B" w:rsidP="00FE386B">
      <w:pPr>
        <w:shd w:val="clear" w:color="auto" w:fill="FFFFFF"/>
        <w:spacing w:after="210" w:line="240" w:lineRule="auto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FE386B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Con </w:t>
      </w:r>
      <w:hyperlink r:id="rId5" w:tgtFrame="_blank" w:tooltip="Delibera C. C. n°34 del 28/04/2026" w:history="1">
        <w:r w:rsidRPr="00FE386B">
          <w:rPr>
            <w:rFonts w:ascii="Helvetica" w:eastAsia="Times New Roman" w:hAnsi="Helvetica" w:cs="Times New Roman"/>
            <w:color w:val="0066CC"/>
            <w:sz w:val="27"/>
            <w:szCs w:val="27"/>
            <w:lang w:eastAsia="it-IT"/>
          </w:rPr>
          <w:t>delibera C.C. n</w:t>
        </w:r>
        <w:r>
          <w:rPr>
            <w:rFonts w:ascii="Helvetica" w:eastAsia="Times New Roman" w:hAnsi="Helvetica" w:cs="Times New Roman"/>
            <w:color w:val="0066CC"/>
            <w:sz w:val="27"/>
            <w:szCs w:val="27"/>
            <w:lang w:eastAsia="it-IT"/>
          </w:rPr>
          <w:t>. 1</w:t>
        </w:r>
        <w:r w:rsidRPr="00FE386B">
          <w:rPr>
            <w:rFonts w:ascii="Helvetica" w:eastAsia="Times New Roman" w:hAnsi="Helvetica" w:cs="Times New Roman"/>
            <w:color w:val="0066CC"/>
            <w:sz w:val="27"/>
            <w:szCs w:val="27"/>
            <w:lang w:eastAsia="it-IT"/>
          </w:rPr>
          <w:t>3 del 2</w:t>
        </w:r>
        <w:r>
          <w:rPr>
            <w:rFonts w:ascii="Helvetica" w:eastAsia="Times New Roman" w:hAnsi="Helvetica" w:cs="Times New Roman"/>
            <w:color w:val="0066CC"/>
            <w:sz w:val="27"/>
            <w:szCs w:val="27"/>
            <w:lang w:eastAsia="it-IT"/>
          </w:rPr>
          <w:t>9</w:t>
        </w:r>
        <w:r w:rsidRPr="00FE386B">
          <w:rPr>
            <w:rFonts w:ascii="Helvetica" w:eastAsia="Times New Roman" w:hAnsi="Helvetica" w:cs="Times New Roman"/>
            <w:color w:val="0066CC"/>
            <w:sz w:val="27"/>
            <w:szCs w:val="27"/>
            <w:lang w:eastAsia="it-IT"/>
          </w:rPr>
          <w:t>/04/2026</w:t>
        </w:r>
      </w:hyperlink>
      <w:r w:rsidRPr="00FE386B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 è stato approvato il Regolamento per la Definizione agevolata delle entrate comunali non riscosse per l'anno 2026.</w:t>
      </w:r>
    </w:p>
    <w:p w:rsidR="00FE386B" w:rsidRPr="00FE386B" w:rsidRDefault="00FE386B" w:rsidP="00FE386B">
      <w:pPr>
        <w:shd w:val="clear" w:color="auto" w:fill="FFFFFF"/>
        <w:spacing w:after="210" w:line="240" w:lineRule="auto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bookmarkStart w:id="0" w:name="_GoBack"/>
      <w:bookmarkEnd w:id="0"/>
      <w:r w:rsidRPr="00FE386B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OGGETTO DELLA DEFINIZIONE AGEVOLATA</w:t>
      </w:r>
    </w:p>
    <w:p w:rsidR="00FE386B" w:rsidRPr="00FE386B" w:rsidRDefault="00FE386B" w:rsidP="00FE386B">
      <w:pPr>
        <w:shd w:val="clear" w:color="auto" w:fill="FFFFFF"/>
        <w:spacing w:after="210" w:line="240" w:lineRule="auto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FE386B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1.Entrate tributarie relative a:</w:t>
      </w:r>
    </w:p>
    <w:p w:rsidR="00FE386B" w:rsidRPr="00FE386B" w:rsidRDefault="00FE386B" w:rsidP="00FE38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FE386B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Ingiunzioni emesse entro il 31/12/2023;</w:t>
      </w:r>
    </w:p>
    <w:p w:rsidR="00FE386B" w:rsidRPr="00FE386B" w:rsidRDefault="00FE386B" w:rsidP="00FE38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FE386B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Accertamenti esecutivi emessi entro il 31/12/2023.</w:t>
      </w:r>
    </w:p>
    <w:p w:rsidR="00FE386B" w:rsidRPr="00FE386B" w:rsidRDefault="00FE386B" w:rsidP="00FE386B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FE386B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Per tali debiti, la definizione consiste nello </w:t>
      </w:r>
      <w:r w:rsidRPr="00FE386B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stralcio di interessi e sanzioni</w:t>
      </w:r>
      <w:r w:rsidRPr="00FE386B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. Gli importi maturati a titolo di rimborso delle spese per le procedure esecutive e cautelari e di notificazione degli atti restano dovuti. </w:t>
      </w:r>
    </w:p>
    <w:p w:rsidR="00FE386B" w:rsidRPr="00FE386B" w:rsidRDefault="00FE386B" w:rsidP="00FE386B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FE386B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 xml:space="preserve">2.Sanzioni amministrative relative al Codice della Strada emesse fino al </w:t>
      </w:r>
      <w:r w:rsidR="003136DB" w:rsidRPr="003136DB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31/12/2019</w:t>
      </w:r>
      <w:r w:rsidRPr="00FE386B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.</w:t>
      </w:r>
      <w:r w:rsidRPr="00FE386B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br/>
      </w:r>
      <w:r w:rsidRPr="00FE386B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Per tali debiti, la definizione consiste nello </w:t>
      </w:r>
      <w:r w:rsidRPr="00FE386B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stralcio degli interessi</w:t>
      </w:r>
      <w:r w:rsidRPr="00FE386B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, inclusi quelli di mora e le maggiorazioni di cui all’articolo 27, sesto comma, della legge 24 novembre 1981, n. 689.</w:t>
      </w:r>
    </w:p>
    <w:p w:rsidR="00FE386B" w:rsidRPr="00FE386B" w:rsidRDefault="00FE386B" w:rsidP="000D54AD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FE386B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Relativamente ai soli debiti sopra citati, </w:t>
      </w:r>
      <w:r w:rsidR="005206D9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di pertinenza dell’Ufficio di Polizia Locale, </w:t>
      </w:r>
      <w:r w:rsidRPr="00FE386B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possono essere oggetto di definizione agevolata:</w:t>
      </w:r>
    </w:p>
    <w:p w:rsidR="00FE386B" w:rsidRPr="00FE386B" w:rsidRDefault="00FE386B" w:rsidP="000D54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FE386B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Importi interamente non pagati;</w:t>
      </w:r>
    </w:p>
    <w:p w:rsidR="00FE386B" w:rsidRPr="00FE386B" w:rsidRDefault="00FE386B" w:rsidP="000D54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FE386B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Importi pagati parzialmente, anche a seguito di rateizzazioni emesse dal Comune o dal Concessionario della riscossione coattiva </w:t>
      </w:r>
      <w:r w:rsidR="000D54AD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SO.G.E.T. </w:t>
      </w:r>
      <w:proofErr w:type="gramStart"/>
      <w:r w:rsidR="000D54AD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S.p.A.</w:t>
      </w:r>
      <w:r w:rsidRPr="00FE386B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.</w:t>
      </w:r>
      <w:proofErr w:type="gramEnd"/>
      <w:r w:rsidRPr="00FE386B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 Le somme già versate sono escluse dalla definizione agevolata e gli interessi e le sanzioni già pagate non sono rimborsabili;</w:t>
      </w:r>
    </w:p>
    <w:p w:rsidR="00FE386B" w:rsidRPr="00FE386B" w:rsidRDefault="00FE386B" w:rsidP="000D54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FE386B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Importi inclusi in accordi o piani del consumatore (entrate tributarie).</w:t>
      </w:r>
    </w:p>
    <w:p w:rsidR="00FE386B" w:rsidRPr="00FE386B" w:rsidRDefault="00FE386B" w:rsidP="00FE386B">
      <w:pPr>
        <w:shd w:val="clear" w:color="auto" w:fill="FFFFFF"/>
        <w:spacing w:after="210" w:line="240" w:lineRule="auto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FE386B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br/>
        <w:t>MODALITA’ DI ACCESSO ALLA DEFINIZIONE AGEVOLATA</w:t>
      </w:r>
    </w:p>
    <w:p w:rsidR="00FE386B" w:rsidRPr="00FE386B" w:rsidRDefault="00FE386B" w:rsidP="000D54AD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FE386B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Per richiedere la definizione agevolata, il debitore deve presentare apposita dichiarazione </w:t>
      </w:r>
      <w:r w:rsidR="00422D2F" w:rsidRPr="00422D2F">
        <w:rPr>
          <w:rFonts w:ascii="Helvetica" w:eastAsia="Times New Roman" w:hAnsi="Helvetica" w:cs="Times New Roman"/>
          <w:b/>
          <w:i/>
          <w:color w:val="1C2024"/>
          <w:sz w:val="27"/>
          <w:szCs w:val="27"/>
          <w:lang w:eastAsia="it-IT"/>
        </w:rPr>
        <w:t>dal 1° giugno al 30 luglio 2026</w:t>
      </w:r>
      <w:r w:rsidRPr="00FE386B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. La modulistica e le modalità di trasmissione verranno pubblicate sul sito del Comune di </w:t>
      </w:r>
      <w:r w:rsidR="000D54AD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Rocca San Giovanni</w:t>
      </w:r>
      <w:r w:rsidRPr="00FE386B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. Nella dichiarazione, il debitore deve indicare l'eventuale pendenza di giudizi aventi ad oggetto i carichi in essa ricompresi e depositare istanza di rinuncia al contenzioso nei 30 giorni successivi alla scadenza del pagamento della prima o unica rata, allegando la relativa quietanza di pagamento, pena l’inefficacia della definizione. Il Comune, anche attraverso il proprio Concessionario della riscossione coattiva, nei successivi </w:t>
      </w:r>
      <w:r w:rsidR="00422D2F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60</w:t>
      </w:r>
      <w:r w:rsidRPr="00FE386B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 giorni dal ricevimento dell’istanza, comunica l’accoglimento o l’eventuale diniego della definizione agevolata, totale o parziale. In caso di accoglimento, nella comunicazione vengono indicati </w:t>
      </w:r>
      <w:r w:rsidRPr="00FE386B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lastRenderedPageBreak/>
        <w:t>l’ammontare complessivo delle somme dovute ai fini della definizione e le modalità di pagamento, secondo i seguenti criteri:</w:t>
      </w:r>
    </w:p>
    <w:p w:rsidR="00FE386B" w:rsidRPr="00FE386B" w:rsidRDefault="00FE386B" w:rsidP="000D54AD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FE386B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 xml:space="preserve">a)    Versamento unico: entro </w:t>
      </w:r>
      <w:r w:rsidR="000D54AD" w:rsidRPr="000D54AD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la fine del mese successivo alla comunicazione di accettazione</w:t>
      </w:r>
      <w:r w:rsidRPr="00FE386B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;</w:t>
      </w:r>
    </w:p>
    <w:p w:rsidR="00FE386B" w:rsidRPr="00FE386B" w:rsidRDefault="00FE386B" w:rsidP="000D54AD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FE386B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b)    Versamento di rate mensili</w:t>
      </w:r>
      <w:r w:rsidRPr="00FE386B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, </w:t>
      </w:r>
      <w:r w:rsidR="000D54AD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secondo</w:t>
      </w:r>
      <w:r w:rsidRPr="00FE386B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 la seguente articolazione:</w:t>
      </w:r>
    </w:p>
    <w:p w:rsidR="000D54AD" w:rsidRDefault="000D54AD" w:rsidP="000D54AD">
      <w:pPr>
        <w:pStyle w:val="Paragrafoelenco"/>
        <w:numPr>
          <w:ilvl w:val="0"/>
          <w:numId w:val="5"/>
        </w:numPr>
        <w:shd w:val="clear" w:color="auto" w:fill="FFFFFF"/>
        <w:spacing w:after="210" w:line="240" w:lineRule="auto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proofErr w:type="gramStart"/>
      <w:r w:rsidRPr="000D54AD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nessuna</w:t>
      </w:r>
      <w:proofErr w:type="gramEnd"/>
      <w:r w:rsidRPr="000D54AD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 rateizzazione sotto gli € 100,00, ed un numero crescente d</w:t>
      </w:r>
      <w:r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i rate all’aumentare del debito;</w:t>
      </w:r>
    </w:p>
    <w:p w:rsidR="000D54AD" w:rsidRDefault="000D54AD" w:rsidP="000D54AD">
      <w:pPr>
        <w:pStyle w:val="Paragrafoelenco"/>
        <w:numPr>
          <w:ilvl w:val="0"/>
          <w:numId w:val="5"/>
        </w:numPr>
        <w:shd w:val="clear" w:color="auto" w:fill="FFFFFF"/>
        <w:spacing w:after="210" w:line="240" w:lineRule="auto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proofErr w:type="gramStart"/>
      <w:r w:rsidRPr="000D54AD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da</w:t>
      </w:r>
      <w:proofErr w:type="gramEnd"/>
      <w:r w:rsidRPr="000D54AD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 euro 100,01 a euro 500,00 fino a quattro rate mensili;</w:t>
      </w:r>
    </w:p>
    <w:p w:rsidR="000D54AD" w:rsidRDefault="000D54AD" w:rsidP="000D54AD">
      <w:pPr>
        <w:pStyle w:val="Paragrafoelenco"/>
        <w:numPr>
          <w:ilvl w:val="0"/>
          <w:numId w:val="5"/>
        </w:numPr>
        <w:shd w:val="clear" w:color="auto" w:fill="FFFFFF"/>
        <w:spacing w:after="210" w:line="240" w:lineRule="auto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proofErr w:type="gramStart"/>
      <w:r w:rsidRPr="000D54AD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da</w:t>
      </w:r>
      <w:proofErr w:type="gramEnd"/>
      <w:r w:rsidRPr="000D54AD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 euro 500,01 a euro 3.000,00 da cinque a dodici rate mensili;</w:t>
      </w:r>
    </w:p>
    <w:p w:rsidR="000D54AD" w:rsidRDefault="000D54AD" w:rsidP="000D54AD">
      <w:pPr>
        <w:pStyle w:val="Paragrafoelenco"/>
        <w:numPr>
          <w:ilvl w:val="0"/>
          <w:numId w:val="5"/>
        </w:numPr>
        <w:shd w:val="clear" w:color="auto" w:fill="FFFFFF"/>
        <w:spacing w:after="210" w:line="240" w:lineRule="auto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proofErr w:type="gramStart"/>
      <w:r w:rsidRPr="000D54AD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da</w:t>
      </w:r>
      <w:proofErr w:type="gramEnd"/>
      <w:r w:rsidRPr="000D54AD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 euro 3.000,01 a euro 6.000,00 da tredici a ventiquattro rate mensili;</w:t>
      </w:r>
    </w:p>
    <w:p w:rsidR="000D54AD" w:rsidRDefault="000D54AD" w:rsidP="000D54AD">
      <w:pPr>
        <w:pStyle w:val="Paragrafoelenco"/>
        <w:numPr>
          <w:ilvl w:val="0"/>
          <w:numId w:val="5"/>
        </w:numPr>
        <w:shd w:val="clear" w:color="auto" w:fill="FFFFFF"/>
        <w:spacing w:after="210" w:line="240" w:lineRule="auto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proofErr w:type="gramStart"/>
      <w:r w:rsidRPr="000D54AD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da</w:t>
      </w:r>
      <w:proofErr w:type="gramEnd"/>
      <w:r w:rsidRPr="000D54AD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 euro 6.000,01 a euro 20.000,00 da venticinque a trentasei rate mensili;</w:t>
      </w:r>
    </w:p>
    <w:p w:rsidR="000D54AD" w:rsidRDefault="000D54AD" w:rsidP="000D54AD">
      <w:pPr>
        <w:pStyle w:val="Paragrafoelenco"/>
        <w:numPr>
          <w:ilvl w:val="0"/>
          <w:numId w:val="5"/>
        </w:numPr>
        <w:shd w:val="clear" w:color="auto" w:fill="FFFFFF"/>
        <w:spacing w:after="210" w:line="240" w:lineRule="auto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proofErr w:type="gramStart"/>
      <w:r w:rsidRPr="000D54AD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oltre</w:t>
      </w:r>
      <w:proofErr w:type="gramEnd"/>
      <w:r w:rsidRPr="000D54AD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 euro 20.000,00 da trentasette a settantadue rate mensili.</w:t>
      </w:r>
    </w:p>
    <w:p w:rsidR="00FE386B" w:rsidRPr="000D54AD" w:rsidRDefault="00FE386B" w:rsidP="000D54AD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0D54AD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Dal giorno successivo alla scadenza della prima rata, si applicano gli interessi al tasso legale maggiorato del 2% annuo.</w:t>
      </w:r>
    </w:p>
    <w:p w:rsidR="00FE386B" w:rsidRPr="00FE386B" w:rsidRDefault="00FE386B" w:rsidP="00FE386B">
      <w:pPr>
        <w:shd w:val="clear" w:color="auto" w:fill="FFFFFF"/>
        <w:spacing w:after="210" w:line="240" w:lineRule="auto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FE386B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br/>
        <w:t>EFFETTI DELLA DEFINIZIONE AGEVOLATA</w:t>
      </w:r>
    </w:p>
    <w:p w:rsidR="00FE386B" w:rsidRDefault="00FE386B" w:rsidP="000D54AD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FE386B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Il pagamento della prima o unica rata determina, limitatamente ai debiti definibili, la revoca automatica dell’eventuale dilazione precedentemente accordata ancora in essere.</w:t>
      </w:r>
      <w:r w:rsidR="000D54AD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 </w:t>
      </w:r>
      <w:r w:rsidRPr="00FE386B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In caso di mancato, insufficiente o tardivo versamento superiore a 5 giorni rispetto alla scadenza stabilita, dell'unica rata ovvero di una di quelle in cui è stato dilazionato il pagamento delle somme, la definizione non produce effetti. In tal caso, i versamenti effettuati sono acquisiti a titolo di acconto ai fini del calcolo dell'importo complessivamente dovuto.</w:t>
      </w:r>
    </w:p>
    <w:p w:rsidR="00422D2F" w:rsidRDefault="00422D2F" w:rsidP="000D54AD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</w:p>
    <w:p w:rsidR="00422D2F" w:rsidRDefault="00422D2F" w:rsidP="000D54AD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Per i crediti affidati al Concessionario </w:t>
      </w:r>
      <w:r w:rsidRPr="00422D2F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SO.G.E.T. S.p.A.</w:t>
      </w:r>
      <w:r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 -</w:t>
      </w:r>
      <w:r w:rsidRPr="00422D2F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 Concessionaria della Riscossione delle Entrate Pescara </w:t>
      </w:r>
      <w:r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per i quali sono in corso procedure di </w:t>
      </w:r>
      <w:proofErr w:type="gramStart"/>
      <w:r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riscossione</w:t>
      </w:r>
      <w:proofErr w:type="gramEnd"/>
      <w:r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, la definizione agevolata dovrà essere richiesta al suddetto Concessionario.</w:t>
      </w:r>
    </w:p>
    <w:p w:rsidR="00422D2F" w:rsidRPr="00510C63" w:rsidRDefault="00422D2F" w:rsidP="00422D2F">
      <w:pPr>
        <w:pStyle w:val="Default"/>
        <w:rPr>
          <w:rFonts w:ascii="Helvetica" w:hAnsi="Helvetica"/>
        </w:rPr>
      </w:pPr>
    </w:p>
    <w:p w:rsidR="00422D2F" w:rsidRPr="00510C63" w:rsidRDefault="00422D2F" w:rsidP="00422D2F">
      <w:pPr>
        <w:pStyle w:val="Default"/>
        <w:rPr>
          <w:rFonts w:ascii="Helvetica" w:hAnsi="Helvetica"/>
          <w:color w:val="auto"/>
          <w:sz w:val="27"/>
          <w:szCs w:val="27"/>
        </w:rPr>
      </w:pPr>
      <w:r w:rsidRPr="00510C63">
        <w:rPr>
          <w:rFonts w:ascii="Helvetica" w:hAnsi="Helvetica"/>
          <w:b/>
          <w:bCs/>
          <w:color w:val="auto"/>
          <w:sz w:val="27"/>
          <w:szCs w:val="27"/>
        </w:rPr>
        <w:t xml:space="preserve">Per informazioni: </w:t>
      </w:r>
    </w:p>
    <w:p w:rsidR="00422D2F" w:rsidRPr="00510C63" w:rsidRDefault="00422D2F" w:rsidP="00422D2F">
      <w:pPr>
        <w:pStyle w:val="Default"/>
        <w:rPr>
          <w:rFonts w:ascii="Helvetica" w:hAnsi="Helvetica"/>
          <w:sz w:val="27"/>
          <w:szCs w:val="27"/>
        </w:rPr>
      </w:pPr>
      <w:proofErr w:type="gramStart"/>
      <w:r w:rsidRPr="00510C63">
        <w:rPr>
          <w:rFonts w:ascii="Helvetica" w:hAnsi="Helvetica"/>
          <w:b/>
          <w:bCs/>
          <w:color w:val="auto"/>
          <w:sz w:val="27"/>
          <w:szCs w:val="27"/>
        </w:rPr>
        <w:t>pec</w:t>
      </w:r>
      <w:proofErr w:type="gramEnd"/>
      <w:r w:rsidRPr="00510C63">
        <w:rPr>
          <w:rFonts w:ascii="Helvetica" w:hAnsi="Helvetica"/>
          <w:b/>
          <w:bCs/>
          <w:color w:val="auto"/>
          <w:sz w:val="27"/>
          <w:szCs w:val="27"/>
        </w:rPr>
        <w:t xml:space="preserve">: </w:t>
      </w:r>
      <w:r w:rsidRPr="00510C63">
        <w:rPr>
          <w:rFonts w:ascii="Helvetica" w:hAnsi="Helvetica"/>
          <w:b/>
          <w:bCs/>
          <w:color w:val="538DD3"/>
          <w:sz w:val="27"/>
          <w:szCs w:val="27"/>
        </w:rPr>
        <w:t xml:space="preserve">definizioneagevolata.sogetspa@pec.it </w:t>
      </w:r>
    </w:p>
    <w:p w:rsidR="00422D2F" w:rsidRPr="00510C63" w:rsidRDefault="00422D2F" w:rsidP="00422D2F">
      <w:pPr>
        <w:pStyle w:val="Default"/>
        <w:rPr>
          <w:rFonts w:ascii="Helvetica" w:hAnsi="Helvetica"/>
          <w:color w:val="538DD3"/>
          <w:sz w:val="27"/>
          <w:szCs w:val="27"/>
          <w:lang w:val="en-US"/>
        </w:rPr>
      </w:pPr>
      <w:proofErr w:type="gramStart"/>
      <w:r w:rsidRPr="00510C63">
        <w:rPr>
          <w:rFonts w:ascii="Helvetica" w:hAnsi="Helvetica"/>
          <w:b/>
          <w:bCs/>
          <w:color w:val="auto"/>
          <w:sz w:val="27"/>
          <w:szCs w:val="27"/>
          <w:lang w:val="en-US"/>
        </w:rPr>
        <w:t>mail</w:t>
      </w:r>
      <w:proofErr w:type="gramEnd"/>
      <w:r w:rsidRPr="00510C63">
        <w:rPr>
          <w:rFonts w:ascii="Helvetica" w:hAnsi="Helvetica"/>
          <w:b/>
          <w:bCs/>
          <w:color w:val="auto"/>
          <w:sz w:val="27"/>
          <w:szCs w:val="27"/>
          <w:lang w:val="en-US"/>
        </w:rPr>
        <w:t xml:space="preserve">: </w:t>
      </w:r>
      <w:r w:rsidRPr="00510C63">
        <w:rPr>
          <w:rFonts w:ascii="Helvetica" w:hAnsi="Helvetica"/>
          <w:b/>
          <w:bCs/>
          <w:color w:val="538DD3"/>
          <w:sz w:val="27"/>
          <w:szCs w:val="27"/>
          <w:lang w:val="en-US"/>
        </w:rPr>
        <w:t xml:space="preserve">definizioneagevolata@sogetspa.it </w:t>
      </w:r>
    </w:p>
    <w:p w:rsidR="00422D2F" w:rsidRPr="00510C63" w:rsidRDefault="00422D2F" w:rsidP="00422D2F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val="en-US" w:eastAsia="it-IT"/>
        </w:rPr>
      </w:pPr>
      <w:r w:rsidRPr="00510C63">
        <w:rPr>
          <w:rFonts w:ascii="Helvetica" w:hAnsi="Helvetica"/>
          <w:b/>
          <w:bCs/>
          <w:sz w:val="27"/>
          <w:szCs w:val="27"/>
          <w:lang w:val="en-US"/>
        </w:rPr>
        <w:t xml:space="preserve">tel. </w:t>
      </w:r>
      <w:r w:rsidRPr="00510C63">
        <w:rPr>
          <w:rFonts w:ascii="Helvetica" w:hAnsi="Helvetica"/>
          <w:b/>
          <w:bCs/>
          <w:color w:val="538DD3"/>
          <w:sz w:val="27"/>
          <w:szCs w:val="27"/>
          <w:lang w:val="en-US"/>
        </w:rPr>
        <w:t>085 3850860 / 869 / 833</w:t>
      </w:r>
    </w:p>
    <w:p w:rsidR="001D5D16" w:rsidRPr="00644279" w:rsidRDefault="001D5D16">
      <w:pPr>
        <w:rPr>
          <w:lang w:val="en-US"/>
        </w:rPr>
      </w:pPr>
    </w:p>
    <w:sectPr w:rsidR="001D5D16" w:rsidRPr="006442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24A"/>
    <w:multiLevelType w:val="multilevel"/>
    <w:tmpl w:val="62D6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F0D46"/>
    <w:multiLevelType w:val="hybridMultilevel"/>
    <w:tmpl w:val="B7F23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E6F5F"/>
    <w:multiLevelType w:val="multilevel"/>
    <w:tmpl w:val="BC92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5E4E83"/>
    <w:multiLevelType w:val="multilevel"/>
    <w:tmpl w:val="A006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0F7FCD"/>
    <w:multiLevelType w:val="multilevel"/>
    <w:tmpl w:val="5628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86B"/>
    <w:rsid w:val="000D54AD"/>
    <w:rsid w:val="0014259A"/>
    <w:rsid w:val="001D4526"/>
    <w:rsid w:val="001D5D16"/>
    <w:rsid w:val="003136DB"/>
    <w:rsid w:val="00422D2F"/>
    <w:rsid w:val="00510C63"/>
    <w:rsid w:val="005206D9"/>
    <w:rsid w:val="00644279"/>
    <w:rsid w:val="006E32FF"/>
    <w:rsid w:val="00784DA7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C517B-265F-47FD-8183-FB3C369E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3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386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D54AD"/>
    <w:pPr>
      <w:ind w:left="720"/>
      <w:contextualSpacing/>
    </w:pPr>
  </w:style>
  <w:style w:type="paragraph" w:customStyle="1" w:styleId="Default">
    <w:name w:val="Default"/>
    <w:rsid w:val="00422D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8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saro.trasparenza-valutazione-merito.it/web/trasparenza/papca-p/-/papca/display/4660855?p_p_state=pop_u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Rocca San Giovanni</Company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Ufficio Protocollo</cp:lastModifiedBy>
  <cp:revision>8</cp:revision>
  <cp:lastPrinted>2026-05-26T08:42:00Z</cp:lastPrinted>
  <dcterms:created xsi:type="dcterms:W3CDTF">2026-05-15T08:54:00Z</dcterms:created>
  <dcterms:modified xsi:type="dcterms:W3CDTF">2026-05-26T09:07:00Z</dcterms:modified>
</cp:coreProperties>
</file>